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0ED" w:rsidRDefault="00CB70ED" w:rsidP="00CB70ED">
      <w:pPr>
        <w:pStyle w:val="textnormal"/>
        <w:numPr>
          <w:ilvl w:val="0"/>
          <w:numId w:val="1"/>
        </w:numPr>
        <w:spacing w:after="0" w:line="240" w:lineRule="auto"/>
        <w:jc w:val="both"/>
        <w:rPr>
          <w:rFonts w:cs="Arial"/>
          <w:bCs/>
          <w:spacing w:val="-3"/>
          <w:sz w:val="22"/>
          <w:szCs w:val="22"/>
        </w:rPr>
      </w:pPr>
      <w:bookmarkStart w:id="0" w:name="_GoBack"/>
      <w:bookmarkEnd w:id="0"/>
      <w:r w:rsidRPr="00CB70ED">
        <w:rPr>
          <w:rFonts w:cs="Arial"/>
          <w:bCs/>
          <w:spacing w:val="-3"/>
          <w:sz w:val="22"/>
          <w:szCs w:val="22"/>
        </w:rPr>
        <w:t>In August 2009, the Government released the draft State Planning Policy</w:t>
      </w:r>
      <w:r>
        <w:rPr>
          <w:rFonts w:cs="Arial"/>
          <w:bCs/>
          <w:spacing w:val="-3"/>
          <w:sz w:val="22"/>
          <w:szCs w:val="22"/>
        </w:rPr>
        <w:t xml:space="preserve"> </w:t>
      </w:r>
      <w:r w:rsidRPr="00CB70ED">
        <w:rPr>
          <w:rFonts w:cs="Arial"/>
          <w:bCs/>
          <w:spacing w:val="-3"/>
          <w:sz w:val="22"/>
          <w:szCs w:val="22"/>
        </w:rPr>
        <w:t xml:space="preserve">for Healthy Waters </w:t>
      </w:r>
      <w:r>
        <w:rPr>
          <w:rFonts w:cs="Arial"/>
          <w:bCs/>
          <w:spacing w:val="-3"/>
          <w:sz w:val="22"/>
          <w:szCs w:val="22"/>
        </w:rPr>
        <w:t>(the SPP)</w:t>
      </w:r>
      <w:r w:rsidRPr="00CB70ED">
        <w:rPr>
          <w:rFonts w:cs="Arial"/>
          <w:bCs/>
          <w:spacing w:val="-3"/>
          <w:sz w:val="22"/>
          <w:szCs w:val="22"/>
        </w:rPr>
        <w:t xml:space="preserve"> for public consultation.  </w:t>
      </w:r>
    </w:p>
    <w:p w:rsidR="00174362" w:rsidRPr="00174362" w:rsidRDefault="00174362" w:rsidP="00CB70ED">
      <w:pPr>
        <w:pStyle w:val="textnormal"/>
        <w:numPr>
          <w:ilvl w:val="0"/>
          <w:numId w:val="1"/>
        </w:numPr>
        <w:spacing w:before="240" w:after="0" w:line="240" w:lineRule="auto"/>
        <w:jc w:val="both"/>
        <w:rPr>
          <w:rFonts w:cs="Arial"/>
          <w:bCs/>
          <w:spacing w:val="-3"/>
          <w:sz w:val="22"/>
          <w:szCs w:val="22"/>
        </w:rPr>
      </w:pPr>
      <w:r>
        <w:rPr>
          <w:rFonts w:cs="Arial"/>
          <w:bCs/>
          <w:spacing w:val="-3"/>
          <w:sz w:val="22"/>
          <w:szCs w:val="22"/>
        </w:rPr>
        <w:t xml:space="preserve">The </w:t>
      </w:r>
      <w:r w:rsidR="00D108D9">
        <w:rPr>
          <w:rFonts w:cs="Arial"/>
          <w:bCs/>
          <w:spacing w:val="-3"/>
          <w:sz w:val="22"/>
          <w:szCs w:val="22"/>
        </w:rPr>
        <w:t xml:space="preserve">SPP </w:t>
      </w:r>
      <w:r w:rsidR="00CB70ED">
        <w:rPr>
          <w:rFonts w:cs="Arial"/>
          <w:bCs/>
          <w:spacing w:val="-3"/>
          <w:sz w:val="22"/>
          <w:szCs w:val="22"/>
        </w:rPr>
        <w:t xml:space="preserve">is made </w:t>
      </w:r>
      <w:r>
        <w:rPr>
          <w:rFonts w:cs="Arial"/>
          <w:bCs/>
          <w:spacing w:val="-3"/>
          <w:sz w:val="22"/>
          <w:szCs w:val="22"/>
        </w:rPr>
        <w:t xml:space="preserve">under the </w:t>
      </w:r>
      <w:r w:rsidR="003F3DD7">
        <w:rPr>
          <w:rFonts w:cs="Arial"/>
          <w:bCs/>
          <w:i/>
          <w:spacing w:val="-3"/>
          <w:sz w:val="22"/>
          <w:szCs w:val="22"/>
        </w:rPr>
        <w:t>Integrated</w:t>
      </w:r>
      <w:r w:rsidR="003F3DD7" w:rsidRPr="004E56F6">
        <w:rPr>
          <w:rFonts w:cs="Arial"/>
          <w:bCs/>
          <w:i/>
          <w:spacing w:val="-3"/>
          <w:sz w:val="22"/>
          <w:szCs w:val="22"/>
        </w:rPr>
        <w:t xml:space="preserve"> </w:t>
      </w:r>
      <w:r w:rsidR="004E56F6" w:rsidRPr="004E56F6">
        <w:rPr>
          <w:rFonts w:cs="Arial"/>
          <w:bCs/>
          <w:i/>
          <w:spacing w:val="-3"/>
          <w:sz w:val="22"/>
          <w:szCs w:val="22"/>
        </w:rPr>
        <w:t>Planning</w:t>
      </w:r>
      <w:r w:rsidRPr="00C871F1">
        <w:rPr>
          <w:rFonts w:cs="Arial"/>
          <w:bCs/>
          <w:i/>
          <w:spacing w:val="-3"/>
          <w:sz w:val="22"/>
          <w:szCs w:val="22"/>
        </w:rPr>
        <w:t xml:space="preserve"> Act </w:t>
      </w:r>
      <w:r w:rsidR="003F3DD7">
        <w:rPr>
          <w:rFonts w:cs="Arial"/>
          <w:bCs/>
          <w:i/>
          <w:spacing w:val="-3"/>
          <w:sz w:val="22"/>
          <w:szCs w:val="22"/>
        </w:rPr>
        <w:t>1997</w:t>
      </w:r>
      <w:r w:rsidR="003F3DD7">
        <w:rPr>
          <w:rFonts w:cs="Arial"/>
          <w:bCs/>
          <w:spacing w:val="-3"/>
          <w:sz w:val="22"/>
          <w:szCs w:val="22"/>
        </w:rPr>
        <w:t xml:space="preserve"> </w:t>
      </w:r>
      <w:r w:rsidR="00CB70ED">
        <w:rPr>
          <w:rFonts w:cs="Arial"/>
          <w:bCs/>
          <w:spacing w:val="-3"/>
          <w:sz w:val="22"/>
          <w:szCs w:val="22"/>
        </w:rPr>
        <w:t xml:space="preserve">and </w:t>
      </w:r>
      <w:r w:rsidR="00737121">
        <w:rPr>
          <w:rFonts w:cs="Arial"/>
          <w:bCs/>
          <w:spacing w:val="-3"/>
          <w:sz w:val="22"/>
          <w:szCs w:val="22"/>
        </w:rPr>
        <w:t>appl</w:t>
      </w:r>
      <w:r w:rsidR="00CB70ED">
        <w:rPr>
          <w:rFonts w:cs="Arial"/>
          <w:bCs/>
          <w:spacing w:val="-3"/>
          <w:sz w:val="22"/>
          <w:szCs w:val="22"/>
        </w:rPr>
        <w:t>ies</w:t>
      </w:r>
      <w:r w:rsidR="00737121">
        <w:rPr>
          <w:rFonts w:cs="Arial"/>
          <w:bCs/>
          <w:spacing w:val="-3"/>
          <w:sz w:val="22"/>
          <w:szCs w:val="22"/>
        </w:rPr>
        <w:t xml:space="preserve"> throughout the State of </w:t>
      </w:r>
      <w:smartTag w:uri="urn:schemas-microsoft-com:office:smarttags" w:element="State">
        <w:smartTag w:uri="urn:schemas-microsoft-com:office:smarttags" w:element="place">
          <w:r w:rsidR="00737121">
            <w:rPr>
              <w:rFonts w:cs="Arial"/>
              <w:bCs/>
              <w:spacing w:val="-3"/>
              <w:sz w:val="22"/>
              <w:szCs w:val="22"/>
            </w:rPr>
            <w:t>Queensland</w:t>
          </w:r>
        </w:smartTag>
      </w:smartTag>
      <w:r w:rsidR="00CB70ED" w:rsidRPr="00CB70ED">
        <w:rPr>
          <w:rFonts w:cs="Arial"/>
          <w:bCs/>
          <w:spacing w:val="-3"/>
          <w:sz w:val="22"/>
          <w:szCs w:val="22"/>
        </w:rPr>
        <w:t xml:space="preserve"> to new development for urban purposes. </w:t>
      </w:r>
    </w:p>
    <w:p w:rsidR="00174362" w:rsidRDefault="00174362" w:rsidP="00CB70ED">
      <w:pPr>
        <w:pStyle w:val="textnormal"/>
        <w:spacing w:after="0" w:line="240" w:lineRule="auto"/>
        <w:jc w:val="both"/>
        <w:rPr>
          <w:sz w:val="22"/>
          <w:szCs w:val="22"/>
        </w:rPr>
      </w:pPr>
    </w:p>
    <w:p w:rsidR="00CB70ED" w:rsidRDefault="004E56F6" w:rsidP="00CB70ED">
      <w:pPr>
        <w:pStyle w:val="textnormal"/>
        <w:numPr>
          <w:ilvl w:val="0"/>
          <w:numId w:val="1"/>
        </w:numPr>
        <w:spacing w:after="0" w:line="240" w:lineRule="auto"/>
        <w:jc w:val="both"/>
        <w:rPr>
          <w:rFonts w:cs="Arial"/>
          <w:bCs/>
          <w:spacing w:val="-3"/>
          <w:sz w:val="22"/>
          <w:szCs w:val="22"/>
        </w:rPr>
      </w:pPr>
      <w:r>
        <w:rPr>
          <w:sz w:val="22"/>
          <w:szCs w:val="22"/>
        </w:rPr>
        <w:t>The SPP</w:t>
      </w:r>
      <w:r w:rsidR="00174362" w:rsidRPr="00174362">
        <w:rPr>
          <w:sz w:val="22"/>
          <w:szCs w:val="22"/>
        </w:rPr>
        <w:t xml:space="preserve"> will influence those land use planning and development decisions that may individually or collectively affect water quality objectives</w:t>
      </w:r>
      <w:r w:rsidR="00175390">
        <w:rPr>
          <w:sz w:val="22"/>
          <w:szCs w:val="22"/>
        </w:rPr>
        <w:t xml:space="preserve"> and waterway health</w:t>
      </w:r>
      <w:r w:rsidR="00174362" w:rsidRPr="00174362">
        <w:rPr>
          <w:sz w:val="22"/>
          <w:szCs w:val="22"/>
        </w:rPr>
        <w:t>.</w:t>
      </w:r>
      <w:r w:rsidR="00CB70ED">
        <w:rPr>
          <w:sz w:val="22"/>
          <w:szCs w:val="22"/>
        </w:rPr>
        <w:t xml:space="preserve"> </w:t>
      </w:r>
      <w:r w:rsidR="00CB70ED" w:rsidRPr="00CB70ED">
        <w:rPr>
          <w:rFonts w:cs="Arial"/>
          <w:bCs/>
          <w:spacing w:val="-3"/>
          <w:sz w:val="22"/>
          <w:szCs w:val="22"/>
        </w:rPr>
        <w:t xml:space="preserve">The key components of the </w:t>
      </w:r>
      <w:r w:rsidR="00CB70ED">
        <w:rPr>
          <w:rFonts w:cs="Arial"/>
          <w:bCs/>
          <w:spacing w:val="-3"/>
          <w:sz w:val="22"/>
          <w:szCs w:val="22"/>
        </w:rPr>
        <w:t xml:space="preserve">SPP </w:t>
      </w:r>
      <w:r w:rsidR="00CB70ED" w:rsidRPr="00CB70ED">
        <w:rPr>
          <w:rFonts w:cs="Arial"/>
          <w:bCs/>
          <w:spacing w:val="-3"/>
          <w:sz w:val="22"/>
          <w:szCs w:val="22"/>
        </w:rPr>
        <w:t xml:space="preserve">are: </w:t>
      </w:r>
    </w:p>
    <w:p w:rsidR="00CB70ED" w:rsidRDefault="00CB70ED" w:rsidP="00F40129">
      <w:pPr>
        <w:pStyle w:val="textnormal"/>
        <w:numPr>
          <w:ilvl w:val="0"/>
          <w:numId w:val="6"/>
        </w:numPr>
        <w:spacing w:before="120" w:after="0" w:line="240" w:lineRule="auto"/>
        <w:ind w:left="641" w:hanging="284"/>
        <w:jc w:val="both"/>
        <w:rPr>
          <w:rFonts w:cs="Arial"/>
          <w:bCs/>
          <w:spacing w:val="-3"/>
          <w:sz w:val="22"/>
          <w:szCs w:val="22"/>
        </w:rPr>
      </w:pPr>
      <w:r w:rsidRPr="00CB70ED">
        <w:rPr>
          <w:rFonts w:cs="Arial"/>
          <w:bCs/>
          <w:spacing w:val="-3"/>
          <w:sz w:val="22"/>
          <w:szCs w:val="22"/>
        </w:rPr>
        <w:t xml:space="preserve">planning provisions applicable to State, regional and local planners; </w:t>
      </w:r>
    </w:p>
    <w:p w:rsidR="00CB70ED" w:rsidRDefault="00CB70ED" w:rsidP="00F40129">
      <w:pPr>
        <w:pStyle w:val="textnormal"/>
        <w:numPr>
          <w:ilvl w:val="0"/>
          <w:numId w:val="6"/>
        </w:numPr>
        <w:spacing w:before="120" w:after="0" w:line="240" w:lineRule="auto"/>
        <w:ind w:left="641" w:hanging="284"/>
        <w:jc w:val="both"/>
        <w:rPr>
          <w:rFonts w:cs="Arial"/>
          <w:bCs/>
          <w:spacing w:val="-3"/>
          <w:sz w:val="22"/>
          <w:szCs w:val="22"/>
        </w:rPr>
      </w:pPr>
      <w:r w:rsidRPr="00CB70ED">
        <w:rPr>
          <w:rFonts w:cs="Arial"/>
          <w:bCs/>
          <w:spacing w:val="-3"/>
          <w:sz w:val="22"/>
          <w:szCs w:val="22"/>
        </w:rPr>
        <w:t xml:space="preserve">a development assessment code on urban stormwater, wastewater, and urban lakes; and </w:t>
      </w:r>
    </w:p>
    <w:p w:rsidR="00174362" w:rsidRPr="00174362" w:rsidRDefault="00CB70ED" w:rsidP="00F40129">
      <w:pPr>
        <w:pStyle w:val="textnormal"/>
        <w:numPr>
          <w:ilvl w:val="0"/>
          <w:numId w:val="6"/>
        </w:numPr>
        <w:spacing w:before="120" w:after="0" w:line="240" w:lineRule="auto"/>
        <w:ind w:left="641" w:hanging="284"/>
        <w:jc w:val="both"/>
        <w:rPr>
          <w:rFonts w:cs="Arial"/>
          <w:bCs/>
          <w:spacing w:val="-3"/>
          <w:sz w:val="22"/>
          <w:szCs w:val="22"/>
        </w:rPr>
      </w:pPr>
      <w:r w:rsidRPr="00CB70ED">
        <w:rPr>
          <w:rFonts w:cs="Arial"/>
          <w:bCs/>
          <w:spacing w:val="-3"/>
          <w:sz w:val="22"/>
          <w:szCs w:val="22"/>
        </w:rPr>
        <w:t>advice for developers, assessment managers, planners and other key stakeholders.</w:t>
      </w:r>
    </w:p>
    <w:p w:rsidR="00174362" w:rsidRDefault="00174362" w:rsidP="00CB70ED">
      <w:pPr>
        <w:pStyle w:val="textnormal"/>
        <w:spacing w:after="0" w:line="240" w:lineRule="auto"/>
        <w:jc w:val="both"/>
        <w:rPr>
          <w:rFonts w:cs="Arial"/>
          <w:bCs/>
          <w:spacing w:val="-3"/>
          <w:sz w:val="22"/>
          <w:szCs w:val="22"/>
        </w:rPr>
      </w:pPr>
    </w:p>
    <w:p w:rsidR="00DF45CF" w:rsidRPr="00174362" w:rsidRDefault="00174362" w:rsidP="00CB70ED">
      <w:pPr>
        <w:pStyle w:val="textnormal"/>
        <w:numPr>
          <w:ilvl w:val="0"/>
          <w:numId w:val="1"/>
        </w:numPr>
        <w:spacing w:after="0" w:line="240" w:lineRule="auto"/>
        <w:jc w:val="both"/>
        <w:rPr>
          <w:rFonts w:cs="Arial"/>
          <w:bCs/>
          <w:spacing w:val="-3"/>
          <w:sz w:val="22"/>
          <w:szCs w:val="22"/>
        </w:rPr>
      </w:pPr>
      <w:r w:rsidRPr="00174362">
        <w:rPr>
          <w:sz w:val="22"/>
          <w:szCs w:val="22"/>
        </w:rPr>
        <w:t xml:space="preserve">Planning instruments will need to reflect the SPP’s provisions on water quality planning and development assessment. Until that time, the SPP will be applied in assessment of development applications including </w:t>
      </w:r>
      <w:r w:rsidR="00175390">
        <w:rPr>
          <w:sz w:val="22"/>
          <w:szCs w:val="22"/>
        </w:rPr>
        <w:t xml:space="preserve">via </w:t>
      </w:r>
      <w:r w:rsidRPr="00174362">
        <w:rPr>
          <w:sz w:val="22"/>
          <w:szCs w:val="22"/>
        </w:rPr>
        <w:t>development assessment codes. The SPP will therefore applied and considered by State agencies, local government, and developers.</w:t>
      </w:r>
    </w:p>
    <w:p w:rsidR="00DF45CF" w:rsidRPr="00CB70ED" w:rsidRDefault="00DF45CF" w:rsidP="00CB70ED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 w:rsidR="00CB70ED">
        <w:rPr>
          <w:rFonts w:ascii="Arial" w:hAnsi="Arial" w:cs="Arial"/>
          <w:sz w:val="22"/>
          <w:szCs w:val="22"/>
          <w:u w:val="single"/>
        </w:rPr>
        <w:t>approved</w:t>
      </w:r>
      <w:r w:rsidR="00CB70ED" w:rsidRPr="00C871F1">
        <w:rPr>
          <w:rFonts w:ascii="Arial" w:hAnsi="Arial" w:cs="Arial"/>
          <w:sz w:val="22"/>
          <w:szCs w:val="22"/>
        </w:rPr>
        <w:t xml:space="preserve"> </w:t>
      </w:r>
      <w:r w:rsidR="00175390" w:rsidRPr="00737121">
        <w:rPr>
          <w:rFonts w:ascii="Arial" w:hAnsi="Arial" w:cs="Arial"/>
          <w:sz w:val="22"/>
          <w:szCs w:val="22"/>
        </w:rPr>
        <w:t xml:space="preserve">the </w:t>
      </w:r>
      <w:r w:rsidR="00CB70ED" w:rsidRPr="00CB70ED">
        <w:rPr>
          <w:rFonts w:ascii="Arial" w:hAnsi="Arial" w:cs="Arial"/>
          <w:sz w:val="22"/>
          <w:szCs w:val="22"/>
        </w:rPr>
        <w:t xml:space="preserve">State Planning Policy </w:t>
      </w:r>
      <w:r w:rsidR="00CB70ED">
        <w:rPr>
          <w:rFonts w:ascii="Arial" w:hAnsi="Arial" w:cs="Arial"/>
          <w:sz w:val="22"/>
          <w:szCs w:val="22"/>
        </w:rPr>
        <w:t xml:space="preserve">for </w:t>
      </w:r>
      <w:r w:rsidR="00737121">
        <w:rPr>
          <w:rFonts w:ascii="Arial" w:hAnsi="Arial" w:cs="Arial"/>
          <w:sz w:val="22"/>
          <w:szCs w:val="22"/>
        </w:rPr>
        <w:t>H</w:t>
      </w:r>
      <w:r w:rsidR="00175390" w:rsidRPr="00737121">
        <w:rPr>
          <w:rFonts w:ascii="Arial" w:hAnsi="Arial" w:cs="Arial"/>
          <w:sz w:val="22"/>
          <w:szCs w:val="22"/>
        </w:rPr>
        <w:t xml:space="preserve">ealthy </w:t>
      </w:r>
      <w:r w:rsidR="00737121">
        <w:rPr>
          <w:rFonts w:ascii="Arial" w:hAnsi="Arial" w:cs="Arial"/>
          <w:sz w:val="22"/>
          <w:szCs w:val="22"/>
        </w:rPr>
        <w:t>W</w:t>
      </w:r>
      <w:r w:rsidR="00175390" w:rsidRPr="00737121">
        <w:rPr>
          <w:rFonts w:ascii="Arial" w:hAnsi="Arial" w:cs="Arial"/>
          <w:sz w:val="22"/>
          <w:szCs w:val="22"/>
        </w:rPr>
        <w:t>aters</w:t>
      </w:r>
      <w:r w:rsidR="009F3C8C">
        <w:rPr>
          <w:rFonts w:ascii="Arial" w:hAnsi="Arial" w:cs="Arial"/>
          <w:sz w:val="22"/>
          <w:szCs w:val="22"/>
        </w:rPr>
        <w:t xml:space="preserve"> and the State Planning Policy for Healthy Waters Guidelines</w:t>
      </w:r>
      <w:r w:rsidR="00737121">
        <w:rPr>
          <w:rFonts w:ascii="Arial" w:hAnsi="Arial" w:cs="Arial"/>
          <w:sz w:val="22"/>
          <w:szCs w:val="22"/>
        </w:rPr>
        <w:t xml:space="preserve">. </w:t>
      </w:r>
    </w:p>
    <w:p w:rsidR="00DF45CF" w:rsidRPr="00C07656" w:rsidRDefault="00DF45CF" w:rsidP="00F40129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F45CF" w:rsidRPr="00C07656" w:rsidRDefault="00DF45CF" w:rsidP="00CB70ED">
      <w:pPr>
        <w:keepNext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DF45CF" w:rsidRDefault="007D6B2C" w:rsidP="00CB70ED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174362" w:rsidRPr="00F40129">
          <w:rPr>
            <w:rStyle w:val="Hyperlink"/>
            <w:rFonts w:ascii="Arial" w:hAnsi="Arial" w:cs="Arial"/>
            <w:sz w:val="22"/>
            <w:szCs w:val="22"/>
          </w:rPr>
          <w:t xml:space="preserve">State Planning Policy </w:t>
        </w:r>
        <w:r w:rsidR="00CB70ED" w:rsidRPr="00F40129">
          <w:rPr>
            <w:rStyle w:val="Hyperlink"/>
            <w:rFonts w:ascii="Arial" w:hAnsi="Arial" w:cs="Arial"/>
            <w:sz w:val="22"/>
            <w:szCs w:val="22"/>
          </w:rPr>
          <w:t xml:space="preserve">for </w:t>
        </w:r>
        <w:r w:rsidR="00174362" w:rsidRPr="00F40129">
          <w:rPr>
            <w:rStyle w:val="Hyperlink"/>
            <w:rFonts w:ascii="Arial" w:hAnsi="Arial" w:cs="Arial"/>
            <w:sz w:val="22"/>
            <w:szCs w:val="22"/>
          </w:rPr>
          <w:t>Healthy Waters</w:t>
        </w:r>
      </w:hyperlink>
      <w:r w:rsidR="00CB70ED">
        <w:rPr>
          <w:rFonts w:ascii="Arial" w:hAnsi="Arial" w:cs="Arial"/>
          <w:sz w:val="22"/>
          <w:szCs w:val="22"/>
        </w:rPr>
        <w:t xml:space="preserve"> </w:t>
      </w:r>
    </w:p>
    <w:p w:rsidR="009F3C8C" w:rsidRDefault="007D6B2C" w:rsidP="00CB70ED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9F3C8C" w:rsidRPr="009F3C8C">
          <w:rPr>
            <w:rStyle w:val="Hyperlink"/>
            <w:rFonts w:ascii="Arial" w:hAnsi="Arial" w:cs="Arial"/>
            <w:sz w:val="22"/>
            <w:szCs w:val="22"/>
          </w:rPr>
          <w:t>State Planning Policy for Healthy Waters Guidelines</w:t>
        </w:r>
      </w:hyperlink>
    </w:p>
    <w:p w:rsidR="00DF45CF" w:rsidRPr="00C07656" w:rsidRDefault="00DF45CF" w:rsidP="00DF45CF">
      <w:pPr>
        <w:rPr>
          <w:rFonts w:ascii="Arial" w:hAnsi="Arial" w:cs="Arial"/>
          <w:sz w:val="22"/>
          <w:szCs w:val="22"/>
        </w:rPr>
      </w:pPr>
    </w:p>
    <w:sectPr w:rsidR="00DF45CF" w:rsidRPr="00C07656" w:rsidSect="00F40129">
      <w:headerReference w:type="first" r:id="rId9"/>
      <w:footerReference w:type="first" r:id="rId10"/>
      <w:pgSz w:w="11907" w:h="16840" w:code="9"/>
      <w:pgMar w:top="1134" w:right="1134" w:bottom="1134" w:left="1134" w:header="851" w:footer="851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0E2" w:rsidRDefault="00AE20E2">
      <w:r>
        <w:separator/>
      </w:r>
    </w:p>
  </w:endnote>
  <w:endnote w:type="continuationSeparator" w:id="0">
    <w:p w:rsidR="00AE20E2" w:rsidRDefault="00AE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C8C" w:rsidRPr="00A62BE2" w:rsidRDefault="009F3C8C" w:rsidP="00A62BE2">
    <w:pPr>
      <w:pStyle w:val="Footer"/>
      <w:rPr>
        <w:szCs w:val="22"/>
      </w:rPr>
    </w:pPr>
    <w:r w:rsidRPr="00A62BE2">
      <w:rPr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0E2" w:rsidRDefault="00AE20E2">
      <w:r>
        <w:separator/>
      </w:r>
    </w:p>
  </w:footnote>
  <w:footnote w:type="continuationSeparator" w:id="0">
    <w:p w:rsidR="00AE20E2" w:rsidRDefault="00AE2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C8C" w:rsidRPr="000400F9" w:rsidRDefault="00CE4163" w:rsidP="00FA28BA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3C8C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9F3C8C">
      <w:rPr>
        <w:rFonts w:ascii="Arial" w:hAnsi="Arial" w:cs="Arial"/>
        <w:b/>
        <w:sz w:val="22"/>
        <w:szCs w:val="22"/>
        <w:u w:val="single"/>
      </w:rPr>
      <w:t>October 2010</w:t>
    </w:r>
  </w:p>
  <w:p w:rsidR="009F3C8C" w:rsidRDefault="009F3C8C" w:rsidP="00FA28B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State Planning Policy for Healthy Waters</w:t>
    </w:r>
  </w:p>
  <w:p w:rsidR="009F3C8C" w:rsidRDefault="009F3C8C" w:rsidP="00FA28B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Climate Change and Sustainability</w:t>
    </w:r>
  </w:p>
  <w:p w:rsidR="009F3C8C" w:rsidRDefault="009F3C8C" w:rsidP="00F40129">
    <w:pPr>
      <w:pStyle w:val="Head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Infrastructure and Planning</w:t>
    </w:r>
  </w:p>
  <w:p w:rsidR="009F3C8C" w:rsidRDefault="009F3C8C" w:rsidP="00FA28BA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sz w:val="22"/>
        <w:szCs w:val="22"/>
        <w:u w:val="single"/>
      </w:rPr>
    </w:pPr>
  </w:p>
  <w:p w:rsidR="009F3C8C" w:rsidRDefault="009F3C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C3578"/>
    <w:multiLevelType w:val="hybridMultilevel"/>
    <w:tmpl w:val="DB5625A6"/>
    <w:lvl w:ilvl="0" w:tplc="4B566F94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hint="default"/>
        <w:color w:val="000000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743"/>
        </w:tabs>
        <w:ind w:left="17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63"/>
        </w:tabs>
        <w:ind w:left="24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83"/>
        </w:tabs>
        <w:ind w:left="31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</w:abstractNum>
  <w:abstractNum w:abstractNumId="1" w15:restartNumberingAfterBreak="0">
    <w:nsid w:val="413964C2"/>
    <w:multiLevelType w:val="hybridMultilevel"/>
    <w:tmpl w:val="3952706A"/>
    <w:lvl w:ilvl="0" w:tplc="2662D852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675675"/>
    <w:multiLevelType w:val="multilevel"/>
    <w:tmpl w:val="1D860D4C"/>
    <w:lvl w:ilvl="0">
      <w:numFmt w:val="bullet"/>
      <w:lvlText w:val=""/>
      <w:lvlJc w:val="left"/>
      <w:pPr>
        <w:tabs>
          <w:tab w:val="num" w:pos="340"/>
        </w:tabs>
        <w:ind w:left="340" w:hanging="283"/>
      </w:pPr>
      <w:rPr>
        <w:rFonts w:ascii="Symbol" w:eastAsia="Times New Roman" w:hAnsi="Symbol" w:cs="Times New Roman" w:hint="default"/>
        <w:sz w:val="2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74A4C"/>
    <w:multiLevelType w:val="hybridMultilevel"/>
    <w:tmpl w:val="1D860D4C"/>
    <w:lvl w:ilvl="0" w:tplc="E2C8D060">
      <w:numFmt w:val="bullet"/>
      <w:lvlText w:val=""/>
      <w:lvlJc w:val="left"/>
      <w:pPr>
        <w:tabs>
          <w:tab w:val="num" w:pos="340"/>
        </w:tabs>
        <w:ind w:left="340" w:hanging="283"/>
      </w:pPr>
      <w:rPr>
        <w:rFonts w:ascii="Symbol" w:eastAsia="Times New Roman" w:hAnsi="Symbol" w:cs="Times New Roman" w:hint="default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F74836F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CF"/>
    <w:rsid w:val="000118A7"/>
    <w:rsid w:val="000C724E"/>
    <w:rsid w:val="00167A79"/>
    <w:rsid w:val="00174362"/>
    <w:rsid w:val="00175390"/>
    <w:rsid w:val="00182AE9"/>
    <w:rsid w:val="001A53CD"/>
    <w:rsid w:val="001C76E9"/>
    <w:rsid w:val="00253A32"/>
    <w:rsid w:val="002614C5"/>
    <w:rsid w:val="002B1E4A"/>
    <w:rsid w:val="002C4C89"/>
    <w:rsid w:val="002E79E1"/>
    <w:rsid w:val="00313E4B"/>
    <w:rsid w:val="003269E6"/>
    <w:rsid w:val="003708D1"/>
    <w:rsid w:val="003A462D"/>
    <w:rsid w:val="003F3DD7"/>
    <w:rsid w:val="00431BD2"/>
    <w:rsid w:val="0044188B"/>
    <w:rsid w:val="00455335"/>
    <w:rsid w:val="00485F0E"/>
    <w:rsid w:val="004E56F6"/>
    <w:rsid w:val="004E66B5"/>
    <w:rsid w:val="005068A5"/>
    <w:rsid w:val="0057766C"/>
    <w:rsid w:val="00625C2C"/>
    <w:rsid w:val="006264AD"/>
    <w:rsid w:val="00676CFF"/>
    <w:rsid w:val="006B0C9C"/>
    <w:rsid w:val="006E55B6"/>
    <w:rsid w:val="00702C97"/>
    <w:rsid w:val="00705FCE"/>
    <w:rsid w:val="00737121"/>
    <w:rsid w:val="00753A3C"/>
    <w:rsid w:val="00757170"/>
    <w:rsid w:val="007B23EE"/>
    <w:rsid w:val="007D6B2C"/>
    <w:rsid w:val="00847A2B"/>
    <w:rsid w:val="008A3578"/>
    <w:rsid w:val="008D49D7"/>
    <w:rsid w:val="008E67EA"/>
    <w:rsid w:val="009267EC"/>
    <w:rsid w:val="00932B1F"/>
    <w:rsid w:val="0097604D"/>
    <w:rsid w:val="009C2F90"/>
    <w:rsid w:val="009D03A1"/>
    <w:rsid w:val="009F3C8C"/>
    <w:rsid w:val="00A27C75"/>
    <w:rsid w:val="00A62BE2"/>
    <w:rsid w:val="00A663D5"/>
    <w:rsid w:val="00A67DF6"/>
    <w:rsid w:val="00AB0896"/>
    <w:rsid w:val="00AE20E2"/>
    <w:rsid w:val="00BC30A0"/>
    <w:rsid w:val="00C05560"/>
    <w:rsid w:val="00C34352"/>
    <w:rsid w:val="00C40BA8"/>
    <w:rsid w:val="00C707D2"/>
    <w:rsid w:val="00C871F1"/>
    <w:rsid w:val="00CB70ED"/>
    <w:rsid w:val="00CD4BFB"/>
    <w:rsid w:val="00CE4163"/>
    <w:rsid w:val="00CE6BB0"/>
    <w:rsid w:val="00D108D9"/>
    <w:rsid w:val="00DF45CF"/>
    <w:rsid w:val="00E61185"/>
    <w:rsid w:val="00E6593F"/>
    <w:rsid w:val="00E810D6"/>
    <w:rsid w:val="00EA18CA"/>
    <w:rsid w:val="00EA7473"/>
    <w:rsid w:val="00EC0AFB"/>
    <w:rsid w:val="00EE7381"/>
    <w:rsid w:val="00F03859"/>
    <w:rsid w:val="00F16532"/>
    <w:rsid w:val="00F40129"/>
    <w:rsid w:val="00FA28BA"/>
    <w:rsid w:val="00FB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5CF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45CF"/>
    <w:pPr>
      <w:tabs>
        <w:tab w:val="center" w:pos="4153"/>
        <w:tab w:val="right" w:pos="8306"/>
      </w:tabs>
    </w:pPr>
    <w:rPr>
      <w:color w:val="auto"/>
    </w:rPr>
  </w:style>
  <w:style w:type="paragraph" w:styleId="Footer">
    <w:name w:val="footer"/>
    <w:basedOn w:val="Normal"/>
    <w:rsid w:val="0097604D"/>
    <w:pPr>
      <w:tabs>
        <w:tab w:val="center" w:pos="4153"/>
        <w:tab w:val="right" w:pos="8306"/>
      </w:tabs>
    </w:pPr>
  </w:style>
  <w:style w:type="paragraph" w:customStyle="1" w:styleId="Char">
    <w:name w:val="Char"/>
    <w:basedOn w:val="Normal"/>
    <w:rsid w:val="00174362"/>
    <w:rPr>
      <w:rFonts w:ascii="Arial" w:hAnsi="Arial" w:cs="Arial"/>
      <w:color w:val="auto"/>
      <w:sz w:val="22"/>
      <w:szCs w:val="22"/>
      <w:lang w:eastAsia="en-US"/>
    </w:rPr>
  </w:style>
  <w:style w:type="paragraph" w:customStyle="1" w:styleId="textnormal">
    <w:name w:val="text normal"/>
    <w:basedOn w:val="Normal"/>
    <w:rsid w:val="00174362"/>
    <w:pPr>
      <w:spacing w:after="120" w:line="280" w:lineRule="exact"/>
    </w:pPr>
    <w:rPr>
      <w:rFonts w:ascii="Arial" w:hAnsi="Arial"/>
      <w:color w:val="auto"/>
      <w:sz w:val="20"/>
      <w:szCs w:val="24"/>
      <w:lang w:eastAsia="en-US"/>
    </w:rPr>
  </w:style>
  <w:style w:type="paragraph" w:styleId="BalloonText">
    <w:name w:val="Balloon Text"/>
    <w:basedOn w:val="Normal"/>
    <w:semiHidden/>
    <w:rsid w:val="00C871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B70ED"/>
    <w:rPr>
      <w:sz w:val="16"/>
      <w:szCs w:val="16"/>
    </w:rPr>
  </w:style>
  <w:style w:type="paragraph" w:styleId="CommentText">
    <w:name w:val="annotation text"/>
    <w:basedOn w:val="Normal"/>
    <w:semiHidden/>
    <w:rsid w:val="00CB70ED"/>
    <w:rPr>
      <w:sz w:val="20"/>
    </w:rPr>
  </w:style>
  <w:style w:type="paragraph" w:styleId="CommentSubject">
    <w:name w:val="annotation subject"/>
    <w:basedOn w:val="CommentText"/>
    <w:next w:val="CommentText"/>
    <w:semiHidden/>
    <w:rsid w:val="00CB70ED"/>
    <w:rPr>
      <w:b/>
      <w:bCs/>
    </w:rPr>
  </w:style>
  <w:style w:type="character" w:styleId="Hyperlink">
    <w:name w:val="Hyperlink"/>
    <w:basedOn w:val="DefaultParagraphFont"/>
    <w:rsid w:val="00C707D2"/>
    <w:rPr>
      <w:color w:val="0000FF"/>
      <w:u w:val="single"/>
    </w:rPr>
  </w:style>
  <w:style w:type="character" w:styleId="FollowedHyperlink">
    <w:name w:val="FollowedHyperlink"/>
    <w:basedOn w:val="DefaultParagraphFont"/>
    <w:rsid w:val="00C707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guidelines%20spp-healthy-waters%5b1%5d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spp-healthy-waters%5b1%5d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1106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1297</CharactersWithSpaces>
  <SharedDoc>false</SharedDoc>
  <HyperlinkBase>https://www.cabinet.qld.gov.au/documents/2010/Oct/State Planning Policy for Healthy Waters/</HyperlinkBase>
  <HLinks>
    <vt:vector size="12" baseType="variant">
      <vt:variant>
        <vt:i4>4522076</vt:i4>
      </vt:variant>
      <vt:variant>
        <vt:i4>3</vt:i4>
      </vt:variant>
      <vt:variant>
        <vt:i4>0</vt:i4>
      </vt:variant>
      <vt:variant>
        <vt:i4>5</vt:i4>
      </vt:variant>
      <vt:variant>
        <vt:lpwstr>Attachments/guidelines spp-healthy-waters%5b1%5d.pdf</vt:lpwstr>
      </vt:variant>
      <vt:variant>
        <vt:lpwstr/>
      </vt:variant>
      <vt:variant>
        <vt:i4>6160390</vt:i4>
      </vt:variant>
      <vt:variant>
        <vt:i4>0</vt:i4>
      </vt:variant>
      <vt:variant>
        <vt:i4>0</vt:i4>
      </vt:variant>
      <vt:variant>
        <vt:i4>5</vt:i4>
      </vt:variant>
      <vt:variant>
        <vt:lpwstr>Attachments/spp-healthy-waters%5b1%5d.pdf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Environmental_protection</cp:keywords>
  <cp:lastModifiedBy/>
  <cp:revision>2</cp:revision>
  <cp:lastPrinted>2011-03-09T07:55:00Z</cp:lastPrinted>
  <dcterms:created xsi:type="dcterms:W3CDTF">2017-10-24T22:22:00Z</dcterms:created>
  <dcterms:modified xsi:type="dcterms:W3CDTF">2018-03-06T01:06:00Z</dcterms:modified>
  <cp:category>Planning,Environmental_Protection,Water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